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5" w:rsidRDefault="00691E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Title"/>
        <w:jc w:val="center"/>
      </w:pPr>
      <w:r>
        <w:t>СОВЕТ ДЕПУТАТОВ ГОРОДСКОГО ОКРУГА ЭЛЕКТРОСТАЛЬ</w:t>
      </w:r>
    </w:p>
    <w:p w:rsidR="00691E65" w:rsidRDefault="00691E65">
      <w:pPr>
        <w:pStyle w:val="ConsPlusTitle"/>
        <w:jc w:val="center"/>
      </w:pPr>
      <w:r>
        <w:t>МОСКОВСКОЙ ОБЛАСТИ</w:t>
      </w:r>
    </w:p>
    <w:p w:rsidR="00691E65" w:rsidRDefault="00691E65">
      <w:pPr>
        <w:pStyle w:val="ConsPlusTitle"/>
        <w:jc w:val="center"/>
      </w:pPr>
    </w:p>
    <w:p w:rsidR="00691E65" w:rsidRDefault="00691E65">
      <w:pPr>
        <w:pStyle w:val="ConsPlusTitle"/>
        <w:jc w:val="center"/>
      </w:pPr>
      <w:r>
        <w:t>РЕШЕНИЕ</w:t>
      </w:r>
    </w:p>
    <w:p w:rsidR="00691E65" w:rsidRDefault="00691E65">
      <w:pPr>
        <w:pStyle w:val="ConsPlusTitle"/>
        <w:jc w:val="center"/>
      </w:pPr>
      <w:r>
        <w:t>от 21 ноября 2012 г. N 206/42</w:t>
      </w:r>
    </w:p>
    <w:p w:rsidR="00691E65" w:rsidRDefault="00691E65">
      <w:pPr>
        <w:pStyle w:val="ConsPlusTitle"/>
        <w:jc w:val="center"/>
      </w:pPr>
    </w:p>
    <w:p w:rsidR="00691E65" w:rsidRDefault="00691E65">
      <w:pPr>
        <w:pStyle w:val="ConsPlusTitle"/>
        <w:jc w:val="center"/>
      </w:pPr>
      <w:r>
        <w:t>О СИСТЕМЕ НАЛОГООБЛОЖЕНИЯ В ВИДЕ ЕДИНОГО НАЛОГА</w:t>
      </w:r>
    </w:p>
    <w:p w:rsidR="00691E65" w:rsidRDefault="00691E65">
      <w:pPr>
        <w:pStyle w:val="ConsPlusTitle"/>
        <w:jc w:val="center"/>
      </w:pPr>
      <w:r>
        <w:t>НА ВМЕНЕННЫЙ ДОХОД ДЛЯ ОТДЕЛЬНЫХ ВИДОВ ДЕЯТЕЛЬНОСТИ</w:t>
      </w:r>
    </w:p>
    <w:p w:rsidR="00691E65" w:rsidRDefault="00691E65">
      <w:pPr>
        <w:pStyle w:val="ConsPlusTitle"/>
        <w:jc w:val="center"/>
      </w:pPr>
      <w:r>
        <w:t>В ГОРОДСКОМ ОКРУГЕ ЭЛЕКТРОСТАЛЬ МОСКОВСКОЙ ОБЛАСТИ</w:t>
      </w:r>
    </w:p>
    <w:p w:rsidR="00691E65" w:rsidRDefault="00691E65">
      <w:pPr>
        <w:pStyle w:val="ConsPlusNormal"/>
        <w:jc w:val="center"/>
      </w:pPr>
      <w:r>
        <w:t>Список изменяющих документов</w:t>
      </w:r>
    </w:p>
    <w:p w:rsidR="00691E65" w:rsidRDefault="00691E65">
      <w:pPr>
        <w:pStyle w:val="ConsPlusNormal"/>
        <w:jc w:val="center"/>
      </w:pPr>
      <w:proofErr w:type="gramStart"/>
      <w:r>
        <w:t>(в ред. решений Совета депутатов городского округа</w:t>
      </w:r>
      <w:proofErr w:type="gramEnd"/>
    </w:p>
    <w:p w:rsidR="00691E65" w:rsidRDefault="00691E65">
      <w:pPr>
        <w:pStyle w:val="ConsPlusNormal"/>
        <w:jc w:val="center"/>
      </w:pPr>
      <w:r>
        <w:t xml:space="preserve">Электросталь МО от 24.10.2013 </w:t>
      </w:r>
      <w:hyperlink r:id="rId5" w:history="1">
        <w:r>
          <w:rPr>
            <w:color w:val="0000FF"/>
          </w:rPr>
          <w:t>N 297/58</w:t>
        </w:r>
      </w:hyperlink>
      <w:r>
        <w:t xml:space="preserve">, от 04.09.2015 </w:t>
      </w:r>
      <w:hyperlink r:id="rId6" w:history="1">
        <w:r>
          <w:rPr>
            <w:color w:val="0000FF"/>
          </w:rPr>
          <w:t>N 477/90</w:t>
        </w:r>
      </w:hyperlink>
      <w:r>
        <w:t>,</w:t>
      </w:r>
    </w:p>
    <w:p w:rsidR="00691E65" w:rsidRDefault="00691E65">
      <w:pPr>
        <w:pStyle w:val="ConsPlusNormal"/>
        <w:jc w:val="center"/>
      </w:pPr>
      <w:r>
        <w:t xml:space="preserve">от 25.11.2015 </w:t>
      </w:r>
      <w:hyperlink r:id="rId7" w:history="1">
        <w:r>
          <w:rPr>
            <w:color w:val="0000FF"/>
          </w:rPr>
          <w:t>N 11/4</w:t>
        </w:r>
      </w:hyperlink>
      <w:r>
        <w:t>)</w:t>
      </w: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25.06.2012 N 94-ФЗ "О внесении изменений в часть первую и вторую Налогового кодекса Российской Федерации и отдельные законодательные акты Российской Федерации" Совет депутатов городского округа Электросталь Московской области решил:</w:t>
      </w:r>
    </w:p>
    <w:p w:rsidR="00691E65" w:rsidRDefault="00691E65">
      <w:pPr>
        <w:pStyle w:val="ConsPlusNormal"/>
        <w:ind w:firstLine="540"/>
        <w:jc w:val="both"/>
      </w:pPr>
      <w:r>
        <w:t xml:space="preserve">1. Ввести на территории городского округа Электросталь Московской области систему налогообложения в виде единого налога на вмененный доход для отдельных видов деятельности, установленную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единый налог).</w:t>
      </w:r>
    </w:p>
    <w:p w:rsidR="00691E65" w:rsidRDefault="00691E65">
      <w:pPr>
        <w:pStyle w:val="ConsPlusNormal"/>
        <w:ind w:firstLine="540"/>
        <w:jc w:val="both"/>
      </w:pPr>
      <w:r>
        <w:t>2. Установить, что единый налог применяется в отношении следующих видов предпринимательской деятельности:</w:t>
      </w:r>
    </w:p>
    <w:p w:rsidR="00691E65" w:rsidRDefault="00691E65">
      <w:pPr>
        <w:pStyle w:val="ConsPlusNormal"/>
        <w:ind w:firstLine="540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691E65" w:rsidRDefault="00691E65">
      <w:pPr>
        <w:pStyle w:val="ConsPlusNormal"/>
        <w:ind w:firstLine="540"/>
        <w:jc w:val="both"/>
      </w:pPr>
      <w:r>
        <w:t>2) оказание ветеринарных услуг;</w:t>
      </w:r>
    </w:p>
    <w:p w:rsidR="00691E65" w:rsidRDefault="00691E65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691E65" w:rsidRDefault="00691E65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91E65" w:rsidRDefault="00691E65">
      <w:pPr>
        <w:pStyle w:val="ConsPlusNormal"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91E65" w:rsidRDefault="00691E65">
      <w:pPr>
        <w:pStyle w:val="ConsPlusNormal"/>
        <w:ind w:firstLine="540"/>
        <w:jc w:val="both"/>
      </w:pPr>
      <w:r>
        <w:t xml:space="preserve">6) розничная торговля, осуществляемая через объекты стационарной торговой сети, не </w:t>
      </w:r>
      <w:proofErr w:type="gramStart"/>
      <w:r>
        <w:t>имеющим</w:t>
      </w:r>
      <w:proofErr w:type="gramEnd"/>
      <w:r>
        <w:t xml:space="preserve"> торговых залов, а также объекты нестационарной торговой сети;</w:t>
      </w:r>
    </w:p>
    <w:p w:rsidR="00691E65" w:rsidRDefault="00691E65">
      <w:pPr>
        <w:pStyle w:val="ConsPlusNormal"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91E65" w:rsidRDefault="00691E65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91E65" w:rsidRDefault="00691E65">
      <w:pPr>
        <w:pStyle w:val="ConsPlusNormal"/>
        <w:ind w:firstLine="540"/>
        <w:jc w:val="both"/>
      </w:pPr>
      <w: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91E65" w:rsidRDefault="00691E65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691E65" w:rsidRDefault="00691E65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691E65" w:rsidRDefault="00691E65">
      <w:pPr>
        <w:pStyle w:val="ConsPlusNormal"/>
        <w:ind w:firstLine="540"/>
        <w:jc w:val="both"/>
      </w:pPr>
      <w: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>
        <w:lastRenderedPageBreak/>
        <w:t>метров;</w:t>
      </w:r>
    </w:p>
    <w:p w:rsidR="00691E65" w:rsidRDefault="00691E65">
      <w:pPr>
        <w:pStyle w:val="ConsPlusNormal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691E65" w:rsidRDefault="00691E65">
      <w:pPr>
        <w:pStyle w:val="ConsPlusNormal"/>
        <w:ind w:firstLine="540"/>
        <w:jc w:val="both"/>
      </w:pPr>
      <w:r>
        <w:t>3. Установить значения корректирующего коэффициента К</w:t>
      </w:r>
      <w:proofErr w:type="gramStart"/>
      <w:r>
        <w:t>2</w:t>
      </w:r>
      <w:proofErr w:type="gramEnd"/>
      <w:r>
        <w:t xml:space="preserve"> в соответствии с таблицами значений корректирующего коэффициента К2 (</w:t>
      </w:r>
      <w:hyperlink w:anchor="P49" w:history="1">
        <w:r>
          <w:rPr>
            <w:color w:val="0000FF"/>
          </w:rPr>
          <w:t>приложение N 1</w:t>
        </w:r>
      </w:hyperlink>
      <w:r>
        <w:t xml:space="preserve"> к настоящему решению).</w:t>
      </w:r>
    </w:p>
    <w:p w:rsidR="00691E65" w:rsidRDefault="00691E65">
      <w:pPr>
        <w:pStyle w:val="ConsPlusNormal"/>
        <w:ind w:firstLine="540"/>
        <w:jc w:val="both"/>
      </w:pPr>
      <w:r>
        <w:t>4. Установить, что для общероссийских общественных организаций инвалидов и их отделений, а также организаций, уставный капитал которых полностью состоит из вкладов указанных общероссийских общественных организаций инвалидов и их отделений, значение корректирующего коэффициента К</w:t>
      </w:r>
      <w:proofErr w:type="gramStart"/>
      <w:r>
        <w:t>2</w:t>
      </w:r>
      <w:proofErr w:type="gramEnd"/>
      <w:r>
        <w:t xml:space="preserve"> устанавливается в соответствии с таблицей значений корректирующего коэффициента К2 (</w:t>
      </w:r>
      <w:hyperlink w:anchor="P167" w:history="1">
        <w:r>
          <w:rPr>
            <w:color w:val="0000FF"/>
          </w:rPr>
          <w:t>приложение N 2</w:t>
        </w:r>
      </w:hyperlink>
      <w:r>
        <w:t xml:space="preserve"> к настоящему решению).</w:t>
      </w:r>
    </w:p>
    <w:p w:rsidR="00691E65" w:rsidRDefault="00691E65">
      <w:pPr>
        <w:pStyle w:val="ConsPlusNormal"/>
        <w:ind w:firstLine="540"/>
        <w:jc w:val="both"/>
      </w:pPr>
      <w:r>
        <w:t>5. Установить, что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t>2</w:t>
      </w:r>
      <w:proofErr w:type="gramEnd"/>
      <w:r>
        <w:t xml:space="preserve">, равное наибольшему значению К2 из установленных в </w:t>
      </w:r>
      <w:hyperlink w:anchor="P49" w:history="1">
        <w:r>
          <w:rPr>
            <w:color w:val="0000FF"/>
          </w:rPr>
          <w:t>приложении N 1</w:t>
        </w:r>
      </w:hyperlink>
      <w:r>
        <w:t xml:space="preserve">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691E65" w:rsidRDefault="00691E65">
      <w:pPr>
        <w:pStyle w:val="ConsPlusNormal"/>
        <w:ind w:firstLine="540"/>
        <w:jc w:val="both"/>
      </w:pPr>
      <w:r>
        <w:t>В случае оказания налогоплательщиком нескольких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t>2</w:t>
      </w:r>
      <w:proofErr w:type="gramEnd"/>
      <w:r>
        <w:t xml:space="preserve">, равное наибольшему значению К2 из установленных в </w:t>
      </w:r>
      <w:hyperlink w:anchor="P49" w:history="1">
        <w:r>
          <w:rPr>
            <w:color w:val="0000FF"/>
          </w:rPr>
          <w:t>приложении N 1</w:t>
        </w:r>
      </w:hyperlink>
      <w:r>
        <w:t xml:space="preserve"> к настоящему решению для тех бытовых услуг, которые оказаны налогоплательщиком в соответствующем налоговом периоде.</w:t>
      </w:r>
    </w:p>
    <w:p w:rsidR="00691E65" w:rsidRDefault="00691E65">
      <w:pPr>
        <w:pStyle w:val="ConsPlusNormal"/>
        <w:ind w:firstLine="540"/>
        <w:jc w:val="both"/>
      </w:pPr>
      <w:r>
        <w:t>6. Установить, что настоящее решение вступает в силу с 1 января 2013 года.</w:t>
      </w:r>
    </w:p>
    <w:p w:rsidR="00691E65" w:rsidRDefault="00691E65">
      <w:pPr>
        <w:pStyle w:val="ConsPlusNormal"/>
        <w:ind w:firstLine="540"/>
        <w:jc w:val="both"/>
      </w:pPr>
      <w:r>
        <w:t xml:space="preserve">7. Опубликовать настоящее решение в газете "Официальный вестник" и </w:t>
      </w:r>
      <w:proofErr w:type="gramStart"/>
      <w:r>
        <w:t>разместить его</w:t>
      </w:r>
      <w:proofErr w:type="gramEnd"/>
      <w:r>
        <w:t xml:space="preserve"> на официальном сайте городского округа Электросталь Московской области </w:t>
      </w:r>
      <w:proofErr w:type="spellStart"/>
      <w:r>
        <w:t>www.electrostal.ru</w:t>
      </w:r>
      <w:proofErr w:type="spellEnd"/>
      <w:r>
        <w:t xml:space="preserve"> не позднее 30 ноября 2012 года.</w:t>
      </w:r>
    </w:p>
    <w:p w:rsidR="00691E65" w:rsidRDefault="00691E6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Признать утратившими силу решения Совета депутатов от 30.10.2008 </w:t>
      </w:r>
      <w:hyperlink r:id="rId11" w:history="1">
        <w:r>
          <w:rPr>
            <w:color w:val="0000FF"/>
          </w:rPr>
          <w:t>N 382/55</w:t>
        </w:r>
      </w:hyperlink>
      <w:r>
        <w:t xml:space="preserve"> "Об утверждении Положения о системе налогообложения в виде единого налога на вмененный доход для отдельных видов деятельности в городском округе Электросталь Московской области" и от 30.10.2009 </w:t>
      </w:r>
      <w:hyperlink r:id="rId12" w:history="1">
        <w:r>
          <w:rPr>
            <w:color w:val="0000FF"/>
          </w:rPr>
          <w:t>N 487/70</w:t>
        </w:r>
      </w:hyperlink>
      <w:r>
        <w:t xml:space="preserve"> "О внесении изменений в решение Совета депутатов городского округа Электросталь Московской области от 30 октября 2008 г. N 382/55</w:t>
      </w:r>
      <w:proofErr w:type="gramEnd"/>
      <w:r>
        <w:t xml:space="preserve"> "</w:t>
      </w:r>
      <w:proofErr w:type="gramStart"/>
      <w:r>
        <w:t>Об утверждении Положения о системе налогообложения в виде единого налога на вмененный доход для отдельных видов</w:t>
      </w:r>
      <w:proofErr w:type="gramEnd"/>
      <w:r>
        <w:t xml:space="preserve"> деятельности в городском округе Электросталь Московской области".</w:t>
      </w:r>
    </w:p>
    <w:p w:rsidR="00691E65" w:rsidRDefault="00691E65">
      <w:pPr>
        <w:pStyle w:val="ConsPlusNormal"/>
        <w:ind w:firstLine="540"/>
        <w:jc w:val="both"/>
      </w:pPr>
      <w:r>
        <w:t>9. Источником финансирования расходов на публикацию настоящего решения принять средства, предусмотренные в бюджете городского округа Электросталь Московской области на 2012 год по разделу 0113 "Другие общегосударственные вопросы".</w:t>
      </w: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right"/>
      </w:pPr>
      <w:r>
        <w:t>Председатель Совета депутатов</w:t>
      </w:r>
    </w:p>
    <w:p w:rsidR="00691E65" w:rsidRDefault="00691E65">
      <w:pPr>
        <w:pStyle w:val="ConsPlusNormal"/>
        <w:jc w:val="right"/>
      </w:pPr>
      <w:r>
        <w:t>городского округа Электросталь</w:t>
      </w:r>
    </w:p>
    <w:p w:rsidR="00691E65" w:rsidRDefault="00691E65">
      <w:pPr>
        <w:pStyle w:val="ConsPlusNormal"/>
        <w:jc w:val="right"/>
      </w:pPr>
      <w:r>
        <w:t>Московской области</w:t>
      </w:r>
    </w:p>
    <w:p w:rsidR="00691E65" w:rsidRDefault="00691E65">
      <w:pPr>
        <w:pStyle w:val="ConsPlusNormal"/>
        <w:jc w:val="right"/>
      </w:pPr>
      <w:r>
        <w:t>В.А. Кузьмин</w:t>
      </w:r>
    </w:p>
    <w:p w:rsidR="00691E65" w:rsidRDefault="00691E65">
      <w:pPr>
        <w:sectPr w:rsidR="00691E65" w:rsidSect="00365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right"/>
      </w:pPr>
      <w:bookmarkStart w:id="0" w:name="P49"/>
      <w:bookmarkEnd w:id="0"/>
      <w:r>
        <w:t>Приложение N 1</w:t>
      </w:r>
    </w:p>
    <w:p w:rsidR="00691E65" w:rsidRDefault="00691E65">
      <w:pPr>
        <w:pStyle w:val="ConsPlusNormal"/>
        <w:jc w:val="right"/>
      </w:pPr>
      <w:r>
        <w:t>к решению Совета депутатов</w:t>
      </w:r>
    </w:p>
    <w:p w:rsidR="00691E65" w:rsidRDefault="00691E65">
      <w:pPr>
        <w:pStyle w:val="ConsPlusNormal"/>
        <w:jc w:val="right"/>
      </w:pPr>
      <w:r>
        <w:t>городского округа Электросталь</w:t>
      </w:r>
    </w:p>
    <w:p w:rsidR="00691E65" w:rsidRDefault="00691E65">
      <w:pPr>
        <w:pStyle w:val="ConsPlusNormal"/>
        <w:jc w:val="right"/>
      </w:pPr>
      <w:r>
        <w:t>Московской области</w:t>
      </w:r>
    </w:p>
    <w:p w:rsidR="00691E65" w:rsidRDefault="00691E65">
      <w:pPr>
        <w:pStyle w:val="ConsPlusNormal"/>
        <w:jc w:val="right"/>
      </w:pPr>
      <w:r>
        <w:t>от 21 ноября 2012 г. N 206/42</w:t>
      </w:r>
    </w:p>
    <w:p w:rsidR="00691E65" w:rsidRDefault="00691E65">
      <w:pPr>
        <w:pStyle w:val="ConsPlusNormal"/>
        <w:jc w:val="center"/>
      </w:pPr>
      <w:r>
        <w:t>Список изменяющих документов</w:t>
      </w:r>
    </w:p>
    <w:p w:rsidR="00691E65" w:rsidRDefault="00691E65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Электросталь МО</w:t>
      </w:r>
      <w:proofErr w:type="gramEnd"/>
    </w:p>
    <w:p w:rsidR="00691E65" w:rsidRDefault="00691E65">
      <w:pPr>
        <w:pStyle w:val="ConsPlusNormal"/>
        <w:jc w:val="center"/>
      </w:pPr>
      <w:r>
        <w:t>от 25.11.2015 N 11/4)</w:t>
      </w:r>
    </w:p>
    <w:p w:rsidR="00691E65" w:rsidRDefault="00691E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200"/>
        <w:gridCol w:w="2211"/>
      </w:tblGrid>
      <w:tr w:rsidR="00691E65">
        <w:tc>
          <w:tcPr>
            <w:tcW w:w="737" w:type="dxa"/>
          </w:tcPr>
          <w:p w:rsidR="00691E65" w:rsidRDefault="00691E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691E65" w:rsidRDefault="00691E6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  <w:jc w:val="center"/>
            </w:pPr>
            <w:r>
              <w:t>3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1.1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1.2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1.3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Услуги прачечных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0,8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1.4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proofErr w:type="gramStart"/>
            <w:r>
              <w:t xml:space="preserve">Услуги предприятий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</w:t>
            </w:r>
            <w:r>
              <w:lastRenderedPageBreak/>
              <w:t>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lastRenderedPageBreak/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0,9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6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 xml:space="preserve">Розничная торговля (за исключением групп товаров, указанных в </w:t>
            </w:r>
            <w:hyperlink w:anchor="P102" w:history="1">
              <w:r>
                <w:rPr>
                  <w:color w:val="0000FF"/>
                </w:rPr>
                <w:t>подпунктах 6.1</w:t>
              </w:r>
            </w:hyperlink>
            <w:r>
              <w:t>-</w:t>
            </w:r>
            <w:hyperlink w:anchor="P117" w:history="1">
              <w:r>
                <w:rPr>
                  <w:color w:val="0000FF"/>
                </w:rPr>
                <w:t>6.6</w:t>
              </w:r>
            </w:hyperlink>
            <w:r>
              <w:t>):</w:t>
            </w:r>
          </w:p>
          <w:p w:rsidR="00691E65" w:rsidRDefault="00691E65">
            <w:pPr>
              <w:pStyle w:val="ConsPlusNormal"/>
            </w:pPr>
            <w:proofErr w:type="gramStart"/>
            <w:r>
              <w:t>- осуществляемая через магазины и павильоны с площадью торгового зала не более 150 квадратных метров по каждому объекту организации торговли;</w:t>
            </w:r>
            <w:proofErr w:type="gramEnd"/>
          </w:p>
          <w:p w:rsidR="00691E65" w:rsidRDefault="00691E65">
            <w:pPr>
              <w:pStyle w:val="ConsPlusNormal"/>
            </w:pPr>
            <w:r>
              <w:t xml:space="preserve">- </w:t>
            </w:r>
            <w:proofErr w:type="gramStart"/>
            <w:r>
              <w:t>осуществляемая</w:t>
            </w:r>
            <w:proofErr w:type="gramEnd"/>
            <w:r>
              <w:t xml:space="preserve"> через объекты стационарной торговой сети, не имеющей торговых залов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0,9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bookmarkStart w:id="1" w:name="P102"/>
            <w:bookmarkEnd w:id="1"/>
            <w:r>
              <w:t>6.1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Продовольственные товары, кроме алкогольной продукции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0,8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6.2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0,8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6.3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6.5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bookmarkStart w:id="2" w:name="P117"/>
            <w:bookmarkEnd w:id="2"/>
            <w:r>
              <w:t>6.6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7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 xml:space="preserve">Розничная торговля, осуществляемая через объекты нестационарной торговой сети (за исключением групп товаров, указанных в </w:t>
            </w:r>
            <w:hyperlink w:anchor="P123" w:history="1">
              <w:r>
                <w:rPr>
                  <w:color w:val="0000FF"/>
                </w:rPr>
                <w:t>подпунктах 7.1</w:t>
              </w:r>
            </w:hyperlink>
            <w:r>
              <w:t>-</w:t>
            </w:r>
            <w:hyperlink w:anchor="P132" w:history="1">
              <w:r>
                <w:rPr>
                  <w:color w:val="0000FF"/>
                </w:rPr>
                <w:t>7.4</w:t>
              </w:r>
            </w:hyperlink>
            <w:r>
              <w:t>)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0,8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bookmarkStart w:id="3" w:name="P123"/>
            <w:bookmarkEnd w:id="3"/>
            <w:r>
              <w:t>7.1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7.2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7.3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bookmarkStart w:id="4" w:name="P132"/>
            <w:bookmarkEnd w:id="4"/>
            <w:r>
              <w:t>7.4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0,7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8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9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10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0,2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Распространение и (или) размещение социальной наружной рекламы, а также социально значимой городской наружной информации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0,005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11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0,2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12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13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  <w:tr w:rsidR="00691E65">
        <w:tc>
          <w:tcPr>
            <w:tcW w:w="737" w:type="dxa"/>
          </w:tcPr>
          <w:p w:rsidR="00691E65" w:rsidRDefault="00691E65">
            <w:pPr>
              <w:pStyle w:val="ConsPlusNormal"/>
            </w:pPr>
            <w:r>
              <w:t>14</w:t>
            </w:r>
          </w:p>
        </w:tc>
        <w:tc>
          <w:tcPr>
            <w:tcW w:w="7200" w:type="dxa"/>
          </w:tcPr>
          <w:p w:rsidR="00691E65" w:rsidRDefault="00691E65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11" w:type="dxa"/>
          </w:tcPr>
          <w:p w:rsidR="00691E65" w:rsidRDefault="00691E65">
            <w:pPr>
              <w:pStyle w:val="ConsPlusNormal"/>
            </w:pPr>
            <w:r>
              <w:t>1</w:t>
            </w:r>
          </w:p>
        </w:tc>
      </w:tr>
    </w:tbl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right"/>
      </w:pPr>
      <w:bookmarkStart w:id="5" w:name="P167"/>
      <w:bookmarkEnd w:id="5"/>
      <w:r>
        <w:t>Приложение N 2</w:t>
      </w:r>
    </w:p>
    <w:p w:rsidR="00691E65" w:rsidRDefault="00691E65">
      <w:pPr>
        <w:pStyle w:val="ConsPlusNormal"/>
        <w:jc w:val="right"/>
      </w:pPr>
      <w:r>
        <w:t>к решению Совета депутатов</w:t>
      </w:r>
    </w:p>
    <w:p w:rsidR="00691E65" w:rsidRDefault="00691E65">
      <w:pPr>
        <w:pStyle w:val="ConsPlusNormal"/>
        <w:jc w:val="right"/>
      </w:pPr>
      <w:r>
        <w:t>городского округа Электросталь</w:t>
      </w:r>
    </w:p>
    <w:p w:rsidR="00691E65" w:rsidRDefault="00691E65">
      <w:pPr>
        <w:pStyle w:val="ConsPlusNormal"/>
        <w:jc w:val="right"/>
      </w:pPr>
      <w:r>
        <w:t>Московской области</w:t>
      </w:r>
    </w:p>
    <w:p w:rsidR="00691E65" w:rsidRDefault="00691E65">
      <w:pPr>
        <w:pStyle w:val="ConsPlusNormal"/>
        <w:jc w:val="right"/>
      </w:pPr>
      <w:r>
        <w:t>от 21 ноября 2012 г. N 206/42</w:t>
      </w:r>
    </w:p>
    <w:p w:rsidR="00691E65" w:rsidRDefault="00691E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745"/>
        <w:gridCol w:w="2640"/>
      </w:tblGrid>
      <w:tr w:rsidR="00691E65">
        <w:tc>
          <w:tcPr>
            <w:tcW w:w="825" w:type="dxa"/>
          </w:tcPr>
          <w:p w:rsidR="00691E65" w:rsidRDefault="00691E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45" w:type="dxa"/>
          </w:tcPr>
          <w:p w:rsidR="00691E65" w:rsidRDefault="00691E6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  <w:jc w:val="center"/>
            </w:pPr>
            <w:r>
              <w:t xml:space="preserve">Значение </w:t>
            </w:r>
            <w:r>
              <w:lastRenderedPageBreak/>
              <w:t>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В том числе: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1.1.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0,23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1.2.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0,23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1.3.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Услуги прачечных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0,27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1.4.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proofErr w:type="gramStart"/>
            <w:r>
              <w:t>Услуги предприятий по прокату (кроме проката транспортных средств, оргтехники, игровых автоматов, компьютеров, игровых программ, 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0,23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1.5.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0,3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Розничная торговля, осуществляемая через объекты стационарной торговой сети, за исключением розничной торговли следующими ассортиментными группами товаров: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0,45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2.1.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Продовольственные товары, кроме алкогольной продукции и пива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0,4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2.2.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0,4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2.3.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0,35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2.4.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0,35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2.5.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0,35</w:t>
            </w:r>
          </w:p>
        </w:tc>
      </w:tr>
      <w:tr w:rsidR="00691E65">
        <w:tc>
          <w:tcPr>
            <w:tcW w:w="825" w:type="dxa"/>
          </w:tcPr>
          <w:p w:rsidR="00691E65" w:rsidRDefault="00691E65">
            <w:pPr>
              <w:pStyle w:val="ConsPlusNormal"/>
            </w:pPr>
            <w:r>
              <w:t>2.6.</w:t>
            </w:r>
          </w:p>
        </w:tc>
        <w:tc>
          <w:tcPr>
            <w:tcW w:w="8745" w:type="dxa"/>
          </w:tcPr>
          <w:p w:rsidR="00691E65" w:rsidRDefault="00691E65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2640" w:type="dxa"/>
          </w:tcPr>
          <w:p w:rsidR="00691E65" w:rsidRDefault="00691E65">
            <w:pPr>
              <w:pStyle w:val="ConsPlusNormal"/>
            </w:pPr>
            <w:r>
              <w:t>0,35</w:t>
            </w:r>
          </w:p>
        </w:tc>
      </w:tr>
    </w:tbl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jc w:val="both"/>
      </w:pPr>
    </w:p>
    <w:p w:rsidR="00691E65" w:rsidRDefault="00691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468" w:rsidRDefault="00843468"/>
    <w:sectPr w:rsidR="00843468" w:rsidSect="00F33B4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65"/>
    <w:rsid w:val="0007009C"/>
    <w:rsid w:val="000977FF"/>
    <w:rsid w:val="0044052F"/>
    <w:rsid w:val="00492DD2"/>
    <w:rsid w:val="004A798E"/>
    <w:rsid w:val="006134BE"/>
    <w:rsid w:val="00691E65"/>
    <w:rsid w:val="006D011F"/>
    <w:rsid w:val="00843468"/>
    <w:rsid w:val="00912592"/>
    <w:rsid w:val="00C4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1355150E950ACC5D76D6DC81C5C0D5568E793ECC40AF8F625A65885Z0P7M" TargetMode="External"/><Relationship Id="rId13" Type="http://schemas.openxmlformats.org/officeDocument/2006/relationships/hyperlink" Target="consultantplus://offline/ref=3BA1355150E950ACC5D76C63DD1C5C0D566FE391EEC50AF8F625A65885074CDCC60B217E038BEED8ZBP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1355150E950ACC5D76C63DD1C5C0D566FE391EEC50AF8F625A65885074CDCC60B217E038BEED8ZBP1M" TargetMode="External"/><Relationship Id="rId12" Type="http://schemas.openxmlformats.org/officeDocument/2006/relationships/hyperlink" Target="consultantplus://offline/ref=3BA1355150E950ACC5D76C63DD1C5C0D556CE194E8C40AF8F625A65885Z0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1355150E950ACC5D76C63DD1C5C0D566CE493EFC60AF8F625A65885074CDCC60B217E038BEED8ZBP1M" TargetMode="External"/><Relationship Id="rId11" Type="http://schemas.openxmlformats.org/officeDocument/2006/relationships/hyperlink" Target="consultantplus://offline/ref=3BA1355150E950ACC5D76C63DD1C5C0D556CE19AECC20AF8F625A65885Z0P7M" TargetMode="External"/><Relationship Id="rId5" Type="http://schemas.openxmlformats.org/officeDocument/2006/relationships/hyperlink" Target="consultantplus://offline/ref=3BA1355150E950ACC5D76C63DD1C5C0D556AEB9AE0C10AF8F625A65885074CDCC60B217E038BEED8ZBP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1355150E950ACC5D76D6DC81C5C0D5568EA95ECC40AF8F625A65885Z0P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A1355150E950ACC5D76D6DC81C5C0D5565EB91EFC40AF8F625A65885074CDCC60B217E058BZEP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10972</Characters>
  <Application>Microsoft Office Word</Application>
  <DocSecurity>0</DocSecurity>
  <Lines>91</Lines>
  <Paragraphs>25</Paragraphs>
  <ScaleCrop>false</ScaleCrop>
  <Company>UFNS MO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2016-04-26T10:03:00Z</dcterms:created>
  <dcterms:modified xsi:type="dcterms:W3CDTF">2016-04-26T10:03:00Z</dcterms:modified>
</cp:coreProperties>
</file>